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ANEXO N.°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DECLARACIÓN DE AUTORÍA, DERECHOS Y AUTORIZACIÓN DE EXHIBICIÓN Y DIFUSIÓN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22° Festival Internacional de Cine de Ovalle 2026 – “Territorio y Futuro”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Documento obligatorio para todas las categorías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="240" w:lineRule="auto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="240" w:lineRule="auto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Este documento deberá ser completado y firmado por la persona responsable de la postulación y entregado en formato PDF.</w:t>
      </w:r>
    </w:p>
    <w:p w:rsidR="00000000" w:rsidDel="00000000" w:rsidP="00000000" w:rsidRDefault="00000000" w:rsidRPr="00000000" w14:paraId="00000008">
      <w:pPr>
        <w:spacing w:after="120" w:line="240" w:lineRule="auto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29"/>
        <w:gridCol w:w="4929"/>
        <w:tblGridChange w:id="0">
          <w:tblGrid>
            <w:gridCol w:w="4929"/>
            <w:gridCol w:w="4929"/>
          </w:tblGrid>
        </w:tblGridChange>
      </w:tblGrid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Nombre completo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RUT / documento de identidad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Título de la obra o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Categoría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La persona individualizada precedentemente declara, bajo su responsabilidad, lo siguiente: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Que cuenta con facultades suficientes para representar la obra o proyecto y efectuar su postulación al 22° Festival Internacional de Cine de Ovalle 2026, “Territorio y Futuro”.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Que la obra o proyecto es original y que cuenta con las autorizaciones, licencias, cesiones o permisos necesarios respecto de derechos de autor, derechos conexos, obras musicales, fonogramas, imágenes, archivos y cualquier otro contenido protegido incorporado en la obra o proyecto.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160" w:line="240" w:lineRule="auto"/>
        <w:ind w:left="36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Que será de su exclusiva responsabilidad obtener y mantener vigentes dichas autorizaciones, licencias, cesiones o permisos y, cuando la utilización de tales contenidos se encuentre sujeta al pago de derechos, licencias, tarifas u otros conceptos, asumir íntegramente dichos pagos.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160" w:line="240" w:lineRule="auto"/>
        <w:ind w:left="36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Que asume la responsabilidad frente a eventuales reclamaciones, conflictos o responsabilidades derivados de la incorporación o utilización no autorizada de contenidos protegidos dentro de la obra o proyecto.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Que, en caso de resultar seleccionada la obra o proyecto, autoriza su exhibición o presentación dentro de la programación oficial del Festival, conforme a las condiciones establecidas en las bases.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Que la selección de la obra o proyecto no implica cesión de derechos de autor ni transferencia de titularidad a favor de la Corporación Cultural Municipal de Ovalle.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Que conoce que, en caso de resultar seleccionada una obra audiovisual, la organización podrá solicitar antecedentes adicionales relativos a las obras musicales incorporadas, mediante el Anexo de Declaración de Obras Musicales Utilizadas.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Que toda la información contenida en esta declaración es veraz.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240" w:before="240" w:line="240" w:lineRule="auto"/>
        <w:ind w:left="36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Los postulantes autorizan expresamente a la Corporación Cultural Municipal de Ovalle a utilizar, exclusivamente con fines de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difusión, promoción, prensa, archivo y memoria del Festival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, los materiales entregados por las personas seleccionadas, tales como fotografías, afiches, tráileres, teasers, fragmentos breves de las obras, biografías y fichas técnicas.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240" w:before="240" w:line="240" w:lineRule="auto"/>
        <w:ind w:left="36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Asimismo, la organización podrá realizar registros fotográficos y audiovisuales de las funciones, presentaciones, conversatorios, actividades de Work in Progress, premiaciones y demás actividades desarrolladas en el marco del Festival, pudiendo utilizarlos con fines institucionales, comunicacionales, de archivo y memoria.</w:t>
      </w:r>
    </w:p>
    <w:p w:rsidR="00000000" w:rsidDel="00000000" w:rsidP="00000000" w:rsidRDefault="00000000" w:rsidRPr="00000000" w14:paraId="00000023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29"/>
        <w:gridCol w:w="4929"/>
        <w:tblGridChange w:id="0">
          <w:tblGrid>
            <w:gridCol w:w="4929"/>
            <w:gridCol w:w="4929"/>
          </w:tblGrid>
        </w:tblGridChange>
      </w:tblGrid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Nombre de quien firma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spacing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020" w:top="1020" w:left="1191" w:right="119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Corporación Cultural Municipal de Ovalle · Competencias Oficiales FCO 2026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tabs>
        <w:tab w:val="center" w:leader="none" w:pos="4419"/>
        <w:tab w:val="right" w:leader="none" w:pos="8838"/>
      </w:tabs>
      <w:spacing w:after="0" w:line="240" w:lineRule="auto"/>
      <w:rPr/>
    </w:pPr>
    <w:r w:rsidDel="00000000" w:rsidR="00000000" w:rsidRPr="00000000">
      <w:rPr>
        <w:rFonts w:ascii="Calibri" w:cs="Calibri" w:eastAsia="Calibri" w:hAnsi="Calibri"/>
        <w:sz w:val="22"/>
        <w:szCs w:val="22"/>
      </w:rPr>
      <w:drawing>
        <wp:inline distB="114300" distT="114300" distL="114300" distR="114300">
          <wp:extent cx="970643" cy="381000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70643" cy="381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5391150</wp:posOffset>
          </wp:positionH>
          <wp:positionV relativeFrom="paragraph">
            <wp:posOffset>-114298</wp:posOffset>
          </wp:positionV>
          <wp:extent cx="502920" cy="502920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02920" cy="50292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1"/>
        <w:szCs w:val="21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ptos" w:cs="Aptos" w:eastAsia="Aptos" w:hAnsi="Aptos"/>
      <w:b w:val="1"/>
      <w:bCs w:val="1"/>
      <w:color w:val="366091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ptos" w:cs="Aptos" w:eastAsia="Aptos" w:hAnsi="Aptos"/>
      <w:b w:val="1"/>
      <w:bCs w:val="1"/>
      <w:color w:val="4f81bd"/>
      <w:sz w:val="23"/>
      <w:szCs w:val="23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tDSZcekNv7sk5YB6U9mk4T3Hiw==">CgMxLjA4AHIhMXR6QTZLUGtxTlBiVzBKVEtBdDd0Yjc5XzVlcVNPemRR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